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002060"/>
          <w:sz w:val="24"/>
          <w:szCs w:val="24"/>
        </w:rPr>
      </w:pPr>
      <w:r w:rsidDel="00000000" w:rsidR="00000000" w:rsidRPr="00000000">
        <w:rPr>
          <w:rFonts w:ascii="Century Gothic" w:cs="Century Gothic" w:eastAsia="Century Gothic" w:hAnsi="Century Gothic"/>
          <w:b w:val="1"/>
          <w:color w:val="002060"/>
          <w:sz w:val="24"/>
          <w:szCs w:val="24"/>
          <w:rtl w:val="0"/>
        </w:rPr>
        <w:t xml:space="preserve">Edenred cuida el medio ambiente reduciendo la huella de carbono, con el programa ECO2 </w:t>
      </w:r>
    </w:p>
    <w:p w:rsidR="00000000" w:rsidDel="00000000" w:rsidP="00000000" w:rsidRDefault="00000000" w:rsidRPr="00000000" w14:paraId="00000003">
      <w:pPr>
        <w:spacing w:line="240" w:lineRule="auto"/>
        <w:jc w:val="center"/>
        <w:rPr>
          <w:rFonts w:ascii="Century Gothic" w:cs="Century Gothic" w:eastAsia="Century Gothic" w:hAnsi="Century Gothic"/>
          <w:b w:val="1"/>
          <w:color w:val="002060"/>
          <w:sz w:val="20"/>
          <w:szCs w:val="20"/>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rPr>
          <w:rFonts w:ascii="Century Gothic" w:cs="Century Gothic" w:eastAsia="Century Gothic" w:hAnsi="Century Gothic"/>
          <w:b w:val="1"/>
          <w:color w:val="3c78d8"/>
          <w:sz w:val="20"/>
          <w:szCs w:val="20"/>
        </w:rPr>
      </w:pPr>
      <w:r w:rsidDel="00000000" w:rsidR="00000000" w:rsidRPr="00000000">
        <w:rPr>
          <w:rFonts w:ascii="Century Gothic" w:cs="Century Gothic" w:eastAsia="Century Gothic" w:hAnsi="Century Gothic"/>
          <w:b w:val="1"/>
          <w:color w:val="3c78d8"/>
          <w:sz w:val="20"/>
          <w:szCs w:val="20"/>
          <w:rtl w:val="0"/>
        </w:rPr>
        <w:t xml:space="preserve">Para 2030, la empresa buscará reducir las emisiones de gases invernadero en un 52%, en comparación con el 2013.</w:t>
      </w:r>
    </w:p>
    <w:p w:rsidR="00000000" w:rsidDel="00000000" w:rsidP="00000000" w:rsidRDefault="00000000" w:rsidRPr="00000000" w14:paraId="00000005">
      <w:pPr>
        <w:numPr>
          <w:ilvl w:val="0"/>
          <w:numId w:val="2"/>
        </w:numPr>
        <w:spacing w:line="240" w:lineRule="auto"/>
        <w:ind w:left="720" w:hanging="360"/>
        <w:rPr>
          <w:rFonts w:ascii="Century Gothic" w:cs="Century Gothic" w:eastAsia="Century Gothic" w:hAnsi="Century Gothic"/>
          <w:b w:val="1"/>
          <w:color w:val="3c78d8"/>
          <w:sz w:val="20"/>
          <w:szCs w:val="20"/>
        </w:rPr>
      </w:pPr>
      <w:r w:rsidDel="00000000" w:rsidR="00000000" w:rsidRPr="00000000">
        <w:rPr>
          <w:rFonts w:ascii="Century Gothic" w:cs="Century Gothic" w:eastAsia="Century Gothic" w:hAnsi="Century Gothic"/>
          <w:b w:val="1"/>
          <w:color w:val="3c78d8"/>
          <w:sz w:val="20"/>
          <w:szCs w:val="20"/>
          <w:rtl w:val="0"/>
        </w:rPr>
        <w:t xml:space="preserve">1,400 empresas que utilizan Ticket Car® forman parte de la prueba piloto que les permite calcular sus emisiones de CO2 por cada litro de combustible que utilizan sus vehículos. </w:t>
      </w:r>
    </w:p>
    <w:p w:rsidR="00000000" w:rsidDel="00000000" w:rsidP="00000000" w:rsidRDefault="00000000" w:rsidRPr="00000000" w14:paraId="00000006">
      <w:pPr>
        <w:spacing w:line="276" w:lineRule="auto"/>
        <w:rPr>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28 de septiembre de 2021. </w:t>
      </w:r>
      <w:r w:rsidDel="00000000" w:rsidR="00000000" w:rsidRPr="00000000">
        <w:rPr>
          <w:rFonts w:ascii="Century Gothic" w:cs="Century Gothic" w:eastAsia="Century Gothic" w:hAnsi="Century Gothic"/>
          <w:sz w:val="20"/>
          <w:szCs w:val="20"/>
          <w:rtl w:val="0"/>
        </w:rPr>
        <w:t xml:space="preserve">Edenred, plataforma líder en servicios y pagos corporativos, en alianza con GreenPrint, empresa líder global en tecnología ambiental, implementaron el Programa </w:t>
      </w:r>
      <w:r w:rsidDel="00000000" w:rsidR="00000000" w:rsidRPr="00000000">
        <w:rPr>
          <w:rFonts w:ascii="Century Gothic" w:cs="Century Gothic" w:eastAsia="Century Gothic" w:hAnsi="Century Gothic"/>
          <w:sz w:val="20"/>
          <w:szCs w:val="20"/>
          <w:rtl w:val="0"/>
        </w:rPr>
        <w:t xml:space="preserve">ECO2</w:t>
      </w:r>
      <w:r w:rsidDel="00000000" w:rsidR="00000000" w:rsidRPr="00000000">
        <w:rPr>
          <w:rFonts w:ascii="Century Gothic" w:cs="Century Gothic" w:eastAsia="Century Gothic" w:hAnsi="Century Gothic"/>
          <w:sz w:val="20"/>
          <w:szCs w:val="20"/>
          <w:rtl w:val="0"/>
        </w:rPr>
        <w:t xml:space="preserve"> con </w:t>
      </w:r>
      <w:r w:rsidDel="00000000" w:rsidR="00000000" w:rsidRPr="00000000">
        <w:rPr>
          <w:rFonts w:ascii="Century Gothic" w:cs="Century Gothic" w:eastAsia="Century Gothic" w:hAnsi="Century Gothic"/>
          <w:b w:val="1"/>
          <w:sz w:val="20"/>
          <w:szCs w:val="20"/>
          <w:rtl w:val="0"/>
        </w:rPr>
        <w:t xml:space="preserve">el objetivo de reducir las emisiones de dióxido de carbono (CO2) de las flotas que cargan combustible con la solución Ticket Car®,</w:t>
      </w:r>
      <w:r w:rsidDel="00000000" w:rsidR="00000000" w:rsidRPr="00000000">
        <w:rPr>
          <w:rtl w:val="0"/>
        </w:rPr>
      </w:r>
    </w:p>
    <w:p w:rsidR="00000000" w:rsidDel="00000000" w:rsidP="00000000" w:rsidRDefault="00000000" w:rsidRPr="00000000" w14:paraId="00000008">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iniciativa comprende actividades como reforestación y recolección de gas de vertederos, y generación de energías renovables. Adicionalmente, se busca que estas acciones ayuden a disminuir el impacto en el medio ambiente, especialmente si consideramos que </w:t>
      </w:r>
      <w:r w:rsidDel="00000000" w:rsidR="00000000" w:rsidRPr="00000000">
        <w:rPr>
          <w:rFonts w:ascii="Century Gothic" w:cs="Century Gothic" w:eastAsia="Century Gothic" w:hAnsi="Century Gothic"/>
          <w:color w:val="212529"/>
          <w:sz w:val="20"/>
          <w:szCs w:val="20"/>
          <w:highlight w:val="white"/>
          <w:rtl w:val="0"/>
        </w:rPr>
        <w:t xml:space="preserve">México está perdiendo cerca de 128.8 mil hectáreas de bosque al año debido a prácticas como el cambio de uso del suelo o la tala clandestina o a fenómenos como incendios. Esta pérdida es la principal causa directa de la degradación de los ecosistemas terrestres y del daño a la biodiversidad del país, de acuerdo con el </w:t>
      </w:r>
      <w:hyperlink r:id="rId6">
        <w:r w:rsidDel="00000000" w:rsidR="00000000" w:rsidRPr="00000000">
          <w:rPr>
            <w:rFonts w:ascii="Century Gothic" w:cs="Century Gothic" w:eastAsia="Century Gothic" w:hAnsi="Century Gothic"/>
            <w:color w:val="1155cc"/>
            <w:sz w:val="20"/>
            <w:szCs w:val="20"/>
            <w:highlight w:val="white"/>
            <w:u w:val="single"/>
            <w:rtl w:val="0"/>
          </w:rPr>
          <w:t xml:space="preserve">Programa Nacional Forestal 2020-2024 </w:t>
        </w:r>
      </w:hyperlink>
      <w:r w:rsidDel="00000000" w:rsidR="00000000" w:rsidRPr="00000000">
        <w:rPr>
          <w:rFonts w:ascii="Century Gothic" w:cs="Century Gothic" w:eastAsia="Century Gothic" w:hAnsi="Century Gothic"/>
          <w:color w:val="212529"/>
          <w:sz w:val="20"/>
          <w:szCs w:val="20"/>
          <w:highlight w:val="white"/>
          <w:rtl w:val="0"/>
        </w:rPr>
        <w:t xml:space="preserve">publicado por la SEMARNAT en el Diario Oficial de la Federación.</w:t>
      </w:r>
      <w:r w:rsidDel="00000000" w:rsidR="00000000" w:rsidRPr="00000000">
        <w:rPr>
          <w:rtl w:val="0"/>
        </w:rPr>
      </w:r>
    </w:p>
    <w:p w:rsidR="00000000" w:rsidDel="00000000" w:rsidP="00000000" w:rsidRDefault="00000000" w:rsidRPr="00000000" w14:paraId="0000000A">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Gracias a la alianza entre Edenred y GreenPrint, 1,400 empresas que utilizan Ticket Car® forman ya parte de la prueba piloto que les permite calcular sus emisiones de CO2 por cada litro de combustible que utilizan sus vehículos. Durante esta prueba, las compañías recibirán un informe mensual de su total de emisiones y un certificado anual que ilustra la cantidad de dióxido de carbono que se compensa a través de los diversos programas de sustentabilidad ambiental.</w:t>
      </w:r>
    </w:p>
    <w:p w:rsidR="00000000" w:rsidDel="00000000" w:rsidP="00000000" w:rsidRDefault="00000000" w:rsidRPr="00000000" w14:paraId="0000000C">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“Uno de los temas centrales para Grupo Edenred es la sustentabilidad. A través del programa ECO2, buscamos apoyar en la reducción de las emisiones de gases de efecto invernadero, los cuales, de acuerdo con la NASA son la causa principal del cambio climático. Estas acciones  ayudan a resolver el problema del calentamiento global al mismo tiempo que ofrecen un beneficio adicional para las compañías que utilizan Ticket Car®”,  </w:t>
      </w:r>
      <w:r w:rsidDel="00000000" w:rsidR="00000000" w:rsidRPr="00000000">
        <w:rPr>
          <w:rFonts w:ascii="Century Gothic" w:cs="Century Gothic" w:eastAsia="Century Gothic" w:hAnsi="Century Gothic"/>
          <w:sz w:val="20"/>
          <w:szCs w:val="20"/>
          <w:rtl w:val="0"/>
        </w:rPr>
        <w:t xml:space="preserve">apuntó Javier Mier y Terán, director de la unidad de Flota y Movilidad en Edenred México. </w:t>
      </w:r>
    </w:p>
    <w:p w:rsidR="00000000" w:rsidDel="00000000" w:rsidP="00000000" w:rsidRDefault="00000000" w:rsidRPr="00000000" w14:paraId="0000000E">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 acción se suma a los compromisos del Grupo en materia ecológica. En 2020, Edenred aceleró su Programa </w:t>
      </w:r>
      <w:r w:rsidDel="00000000" w:rsidR="00000000" w:rsidRPr="00000000">
        <w:rPr>
          <w:rFonts w:ascii="Century Gothic" w:cs="Century Gothic" w:eastAsia="Century Gothic" w:hAnsi="Century Gothic"/>
          <w:b w:val="1"/>
          <w:sz w:val="20"/>
          <w:szCs w:val="20"/>
          <w:rtl w:val="0"/>
        </w:rPr>
        <w:t xml:space="preserve">IDEAL</w:t>
      </w:r>
      <w:r w:rsidDel="00000000" w:rsidR="00000000" w:rsidRPr="00000000">
        <w:rPr>
          <w:rFonts w:ascii="Century Gothic" w:cs="Century Gothic" w:eastAsia="Century Gothic" w:hAnsi="Century Gothic"/>
          <w:sz w:val="20"/>
          <w:szCs w:val="20"/>
          <w:rtl w:val="0"/>
        </w:rPr>
        <w:t xml:space="preserve">, que aborda 12 de los 17 Objetivos de Desarrollo Sostenible de las Naciones Unidas. Asimismo, redujo significativamente las emisiones de Gases de Efecto Invernadero, buscando así alcanzar sus metas ecológicas de corto y largo plazo, entre las que destacan:</w:t>
      </w:r>
    </w:p>
    <w:p w:rsidR="00000000" w:rsidDel="00000000" w:rsidP="00000000" w:rsidRDefault="00000000" w:rsidRPr="00000000" w14:paraId="00000010">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Reducción del 26%</w:t>
      </w:r>
      <w:r w:rsidDel="00000000" w:rsidR="00000000" w:rsidRPr="00000000">
        <w:rPr>
          <w:rFonts w:ascii="Century Gothic" w:cs="Century Gothic" w:eastAsia="Century Gothic" w:hAnsi="Century Gothic"/>
          <w:sz w:val="20"/>
          <w:szCs w:val="20"/>
          <w:rtl w:val="0"/>
        </w:rPr>
        <w:t xml:space="preserve"> en las emisiones de gases de efecto invernadero en comparación con 2013, con el objetivo de llegar al 52% en 2030.</w:t>
      </w:r>
    </w:p>
    <w:p w:rsidR="00000000" w:rsidDel="00000000" w:rsidP="00000000" w:rsidRDefault="00000000" w:rsidRPr="00000000" w14:paraId="00000012">
      <w:pPr>
        <w:numPr>
          <w:ilvl w:val="0"/>
          <w:numId w:val="1"/>
        </w:numPr>
        <w:spacing w:line="36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Contar con 20 servicios responsables con el medio ambiente para el 2022.</w:t>
      </w:r>
    </w:p>
    <w:p w:rsidR="00000000" w:rsidDel="00000000" w:rsidP="00000000" w:rsidRDefault="00000000" w:rsidRPr="00000000" w14:paraId="00000013">
      <w:pPr>
        <w:numPr>
          <w:ilvl w:val="0"/>
          <w:numId w:val="1"/>
        </w:numPr>
        <w:spacing w:line="36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35%</w:t>
      </w:r>
      <w:r w:rsidDel="00000000" w:rsidR="00000000" w:rsidRPr="00000000">
        <w:rPr>
          <w:rFonts w:ascii="Century Gothic" w:cs="Century Gothic" w:eastAsia="Century Gothic" w:hAnsi="Century Gothic"/>
          <w:sz w:val="20"/>
          <w:szCs w:val="20"/>
          <w:rtl w:val="0"/>
        </w:rPr>
        <w:t xml:space="preserve"> de las soluciones de diseño ecológico o reciclado y </w:t>
      </w:r>
      <w:r w:rsidDel="00000000" w:rsidR="00000000" w:rsidRPr="00000000">
        <w:rPr>
          <w:rFonts w:ascii="Century Gothic" w:cs="Century Gothic" w:eastAsia="Century Gothic" w:hAnsi="Century Gothic"/>
          <w:b w:val="1"/>
          <w:sz w:val="20"/>
          <w:szCs w:val="20"/>
          <w:rtl w:val="0"/>
        </w:rPr>
        <w:t xml:space="preserve">0 uso de papel </w:t>
      </w:r>
      <w:r w:rsidDel="00000000" w:rsidR="00000000" w:rsidRPr="00000000">
        <w:rPr>
          <w:rFonts w:ascii="Century Gothic" w:cs="Century Gothic" w:eastAsia="Century Gothic" w:hAnsi="Century Gothic"/>
          <w:sz w:val="20"/>
          <w:szCs w:val="20"/>
          <w:rtl w:val="0"/>
        </w:rPr>
        <w:t xml:space="preserve">neto desde 2021, el cual se expandirá hasta alcanzar el 70% de las soluciones en 2030.</w:t>
      </w:r>
    </w:p>
    <w:p w:rsidR="00000000" w:rsidDel="00000000" w:rsidP="00000000" w:rsidRDefault="00000000" w:rsidRPr="00000000" w14:paraId="00000014">
      <w:pPr>
        <w:spacing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5">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Considerando factores como que el 25% de las emisiones de gases de efecto invernadero en México son causadas por el sector transporte, de acuerdo con el Instituto Nacional de Ecología y Cambio Climático (INECC), y que en la Ciudad de México la temperatura se ha elevado en casi cuatro grados centígrados desde el año 2018, el programa ECO2 permite a las flotas compensar la mitad de sus emisiones de dióxido de carbono por cada litro de combustible que consumen a través de inversiones en proyectos de reducción de carbono certificados a nivel mundial. </w:t>
      </w:r>
    </w:p>
    <w:p w:rsidR="00000000" w:rsidDel="00000000" w:rsidP="00000000" w:rsidRDefault="00000000" w:rsidRPr="00000000" w14:paraId="00000016">
      <w:pPr>
        <w:spacing w:line="240" w:lineRule="auto"/>
        <w:rPr>
          <w:rFonts w:ascii="Century Gothic" w:cs="Century Gothic" w:eastAsia="Century Gothic" w:hAnsi="Century Gothic"/>
          <w:color w:val="002060"/>
          <w:sz w:val="20"/>
          <w:szCs w:val="20"/>
        </w:rPr>
      </w:pPr>
      <w:r w:rsidDel="00000000" w:rsidR="00000000" w:rsidRPr="00000000">
        <w:rPr>
          <w:rtl w:val="0"/>
        </w:rPr>
      </w:r>
    </w:p>
    <w:p w:rsidR="00000000" w:rsidDel="00000000" w:rsidP="00000000" w:rsidRDefault="00000000" w:rsidRPr="00000000" w14:paraId="00000017">
      <w:pPr>
        <w:spacing w:after="160" w:line="360" w:lineRule="auto"/>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color w:val="002060"/>
          <w:sz w:val="16"/>
          <w:szCs w:val="16"/>
          <w:rtl w:val="0"/>
        </w:rPr>
        <w:t xml:space="preserve">▬▬</w:t>
      </w:r>
    </w:p>
    <w:p w:rsidR="00000000" w:rsidDel="00000000" w:rsidP="00000000" w:rsidRDefault="00000000" w:rsidRPr="00000000" w14:paraId="00000018">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Edenred </w:t>
      </w:r>
      <w:r w:rsidDel="00000000" w:rsidR="00000000" w:rsidRPr="00000000">
        <w:rPr>
          <w:rFonts w:ascii="Century Gothic" w:cs="Century Gothic" w:eastAsia="Century Gothic" w:hAnsi="Century Gothic"/>
          <w:color w:val="162056"/>
          <w:sz w:val="16"/>
          <w:szCs w:val="16"/>
          <w:rtl w:val="0"/>
        </w:rPr>
        <w:t xml:space="preserve">es la plataforma líder en servicios y pagos, así como el compañero diario de los trabajadores, conectando a más de 50 millones de empleados y 2 millones de comercios asociados en 46 países a través de más de 850,000 clientes corporativos.</w:t>
      </w:r>
    </w:p>
    <w:p w:rsidR="00000000" w:rsidDel="00000000" w:rsidP="00000000" w:rsidRDefault="00000000" w:rsidRPr="00000000" w14:paraId="00000019">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ofrece soluciones de pago con fines específicos para </w:t>
      </w:r>
      <w:r w:rsidDel="00000000" w:rsidR="00000000" w:rsidRPr="00000000">
        <w:rPr>
          <w:rFonts w:ascii="Century Gothic" w:cs="Century Gothic" w:eastAsia="Century Gothic" w:hAnsi="Century Gothic"/>
          <w:b w:val="1"/>
          <w:color w:val="162056"/>
          <w:sz w:val="16"/>
          <w:szCs w:val="16"/>
          <w:rtl w:val="0"/>
        </w:rPr>
        <w:t xml:space="preserve">la alimentación</w:t>
      </w:r>
      <w:r w:rsidDel="00000000" w:rsidR="00000000" w:rsidRPr="00000000">
        <w:rPr>
          <w:rFonts w:ascii="Century Gothic" w:cs="Century Gothic" w:eastAsia="Century Gothic" w:hAnsi="Century Gothic"/>
          <w:color w:val="162056"/>
          <w:sz w:val="16"/>
          <w:szCs w:val="16"/>
          <w:rtl w:val="0"/>
        </w:rPr>
        <w:t xml:space="preserve"> (vales de despensa y restaurante), </w:t>
      </w:r>
      <w:r w:rsidDel="00000000" w:rsidR="00000000" w:rsidRPr="00000000">
        <w:rPr>
          <w:rFonts w:ascii="Century Gothic" w:cs="Century Gothic" w:eastAsia="Century Gothic" w:hAnsi="Century Gothic"/>
          <w:b w:val="1"/>
          <w:color w:val="162056"/>
          <w:sz w:val="16"/>
          <w:szCs w:val="16"/>
          <w:rtl w:val="0"/>
        </w:rPr>
        <w:t xml:space="preserve">la</w:t>
      </w:r>
      <w:r w:rsidDel="00000000" w:rsidR="00000000" w:rsidRPr="00000000">
        <w:rPr>
          <w:rFonts w:ascii="Century Gothic" w:cs="Century Gothic" w:eastAsia="Century Gothic" w:hAnsi="Century Gothic"/>
          <w:color w:val="162056"/>
          <w:sz w:val="16"/>
          <w:szCs w:val="16"/>
          <w:rtl w:val="0"/>
        </w:rPr>
        <w:t xml:space="preserve"> </w:t>
      </w:r>
      <w:r w:rsidDel="00000000" w:rsidR="00000000" w:rsidRPr="00000000">
        <w:rPr>
          <w:rFonts w:ascii="Century Gothic" w:cs="Century Gothic" w:eastAsia="Century Gothic" w:hAnsi="Century Gothic"/>
          <w:b w:val="1"/>
          <w:color w:val="162056"/>
          <w:sz w:val="16"/>
          <w:szCs w:val="16"/>
          <w:rtl w:val="0"/>
        </w:rPr>
        <w:t xml:space="preserve"> movilidad</w:t>
      </w:r>
      <w:r w:rsidDel="00000000" w:rsidR="00000000" w:rsidRPr="00000000">
        <w:rPr>
          <w:rFonts w:ascii="Century Gothic" w:cs="Century Gothic" w:eastAsia="Century Gothic" w:hAnsi="Century Gothic"/>
          <w:color w:val="162056"/>
          <w:sz w:val="16"/>
          <w:szCs w:val="16"/>
          <w:rtl w:val="0"/>
        </w:rPr>
        <w:t xml:space="preserve"> (tarjetas de combustible, mantenimiento, peaje y soluciones de desplazamiento), </w:t>
      </w:r>
      <w:r w:rsidDel="00000000" w:rsidR="00000000" w:rsidRPr="00000000">
        <w:rPr>
          <w:rFonts w:ascii="Century Gothic" w:cs="Century Gothic" w:eastAsia="Century Gothic" w:hAnsi="Century Gothic"/>
          <w:b w:val="1"/>
          <w:color w:val="162056"/>
          <w:sz w:val="16"/>
          <w:szCs w:val="16"/>
          <w:rtl w:val="0"/>
        </w:rPr>
        <w:t xml:space="preserve">los incentivos</w:t>
      </w:r>
      <w:r w:rsidDel="00000000" w:rsidR="00000000" w:rsidRPr="00000000">
        <w:rPr>
          <w:rFonts w:ascii="Century Gothic" w:cs="Century Gothic" w:eastAsia="Century Gothic" w:hAnsi="Century Gothic"/>
          <w:color w:val="162056"/>
          <w:sz w:val="16"/>
          <w:szCs w:val="16"/>
          <w:rtl w:val="0"/>
        </w:rPr>
        <w:t xml:space="preserve"> (tarjetas de regalo, plataformas de lealtad de empleados) </w:t>
      </w:r>
      <w:r w:rsidDel="00000000" w:rsidR="00000000" w:rsidRPr="00000000">
        <w:rPr>
          <w:rFonts w:ascii="Century Gothic" w:cs="Century Gothic" w:eastAsia="Century Gothic" w:hAnsi="Century Gothic"/>
          <w:b w:val="1"/>
          <w:color w:val="162056"/>
          <w:sz w:val="16"/>
          <w:szCs w:val="16"/>
          <w:rtl w:val="0"/>
        </w:rPr>
        <w:t xml:space="preserve">y los gastos corporativos</w:t>
      </w:r>
      <w:r w:rsidDel="00000000" w:rsidR="00000000" w:rsidRPr="00000000">
        <w:rPr>
          <w:rFonts w:ascii="Century Gothic" w:cs="Century Gothic" w:eastAsia="Century Gothic" w:hAnsi="Century Gothic"/>
          <w:color w:val="162056"/>
          <w:sz w:val="16"/>
          <w:szCs w:val="16"/>
          <w:rtl w:val="0"/>
        </w:rPr>
        <w:t xml:space="preserve"> (tarjetas virtuales). </w:t>
      </w:r>
    </w:p>
    <w:p w:rsidR="00000000" w:rsidDel="00000000" w:rsidP="00000000" w:rsidRDefault="00000000" w:rsidRPr="00000000" w14:paraId="0000001B">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C">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Fieles al propósito del Grupo: “Enriquecer conexiones. Para bien” estas soluciones mejoran el poder adquisitivo y el bienestar de los usuarios, mejoran el atractivo y la eficiencia de las empresas, revitalizando el mercado laboral y la economía local.</w:t>
      </w:r>
      <w:r w:rsidDel="00000000" w:rsidR="00000000" w:rsidRPr="00000000">
        <w:rPr>
          <w:rFonts w:ascii="Calibri" w:cs="Calibri" w:eastAsia="Calibri" w:hAnsi="Calibri"/>
          <w:sz w:val="16"/>
          <w:szCs w:val="16"/>
          <w:rtl w:val="0"/>
        </w:rPr>
        <w:t xml:space="preserve"> </w:t>
      </w:r>
      <w:r w:rsidDel="00000000" w:rsidR="00000000" w:rsidRPr="00000000">
        <w:rPr>
          <w:rFonts w:ascii="Century Gothic" w:cs="Century Gothic" w:eastAsia="Century Gothic" w:hAnsi="Century Gothic"/>
          <w:color w:val="162056"/>
          <w:sz w:val="16"/>
          <w:szCs w:val="16"/>
          <w:rtl w:val="0"/>
        </w:rPr>
        <w:t xml:space="preserve">También fomentan el acceso a una alimentación más sana, a productos más respetuosos con el medio ambiente y a una movilidad más sencilla</w:t>
      </w:r>
    </w:p>
    <w:p w:rsidR="00000000" w:rsidDel="00000000" w:rsidP="00000000" w:rsidRDefault="00000000" w:rsidRPr="00000000" w14:paraId="0000001D">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Los 10,000 empleados de Edenred están comprometidos para hacer del mundo un ecosistema conectado que sea más seguro, más eficiente y más responsable cada día.</w:t>
      </w:r>
    </w:p>
    <w:p w:rsidR="00000000" w:rsidDel="00000000" w:rsidP="00000000" w:rsidRDefault="00000000" w:rsidRPr="00000000" w14:paraId="0000001F">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0">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En 2020, gracias a sus activos tecnológicos globales, el Grupo gestionó cerca de €30 mil millones de volumen de negocio, principalmente a través de aplicaciones móviles, plataformas online y tarjetas.</w:t>
      </w:r>
    </w:p>
    <w:p w:rsidR="00000000" w:rsidDel="00000000" w:rsidP="00000000" w:rsidRDefault="00000000" w:rsidRPr="00000000" w14:paraId="00000021">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2">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cotiza en la bolsa Euronext de París y está incluida en los siguientes índices CAC Next 20, CAC Large 60, Euronext 100, FTSE4Good y MSCI Europe.</w:t>
      </w:r>
    </w:p>
    <w:p w:rsidR="00000000" w:rsidDel="00000000" w:rsidP="00000000" w:rsidRDefault="00000000" w:rsidRPr="00000000" w14:paraId="00000023">
      <w:pPr>
        <w:shd w:fill="ffffff" w:val="clear"/>
        <w:spacing w:line="276"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p>
    <w:p w:rsidR="00000000" w:rsidDel="00000000" w:rsidP="00000000" w:rsidRDefault="00000000" w:rsidRPr="00000000" w14:paraId="00000026">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7">
      <w:pPr>
        <w:spacing w:line="240" w:lineRule="auto"/>
        <w:jc w:val="both"/>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color w:val="002060"/>
          <w:sz w:val="16"/>
          <w:szCs w:val="16"/>
          <w:rtl w:val="0"/>
        </w:rPr>
        <w:t xml:space="preserve">▬▬</w:t>
      </w:r>
    </w:p>
    <w:p w:rsidR="00000000" w:rsidDel="00000000" w:rsidP="00000000" w:rsidRDefault="00000000" w:rsidRPr="00000000" w14:paraId="00000028">
      <w:pPr>
        <w:spacing w:line="259"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9">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CONTACTOS</w:t>
      </w:r>
    </w:p>
    <w:p w:rsidR="00000000" w:rsidDel="00000000" w:rsidP="00000000" w:rsidRDefault="00000000" w:rsidRPr="00000000" w14:paraId="0000002A">
      <w:pPr>
        <w:spacing w:line="259" w:lineRule="auto"/>
        <w:rPr>
          <w:rFonts w:ascii="Century Gothic" w:cs="Century Gothic" w:eastAsia="Century Gothic" w:hAnsi="Century Gothic"/>
          <w:b w:val="1"/>
          <w:color w:val="162056"/>
          <w:sz w:val="16"/>
          <w:szCs w:val="16"/>
        </w:rPr>
      </w:pPr>
      <w:r w:rsidDel="00000000" w:rsidR="00000000" w:rsidRPr="00000000">
        <w:rPr>
          <w:rtl w:val="0"/>
        </w:rPr>
      </w:r>
    </w:p>
    <w:tbl>
      <w:tblPr>
        <w:tblStyle w:val="Table1"/>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B">
            <w:pPr>
              <w:spacing w:line="259"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Director de Estrategia &amp; Marketing</w:t>
            </w:r>
          </w:p>
          <w:p w:rsidR="00000000" w:rsidDel="00000000" w:rsidP="00000000" w:rsidRDefault="00000000" w:rsidRPr="00000000" w14:paraId="0000002C">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Santiago Gómez</w:t>
            </w:r>
          </w:p>
          <w:p w:rsidR="00000000" w:rsidDel="00000000" w:rsidP="00000000" w:rsidRDefault="00000000" w:rsidRPr="00000000" w14:paraId="0000002D">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3339 1481</w:t>
            </w:r>
          </w:p>
          <w:p w:rsidR="00000000" w:rsidDel="00000000" w:rsidP="00000000" w:rsidRDefault="00000000" w:rsidRPr="00000000" w14:paraId="0000002E">
            <w:pPr>
              <w:spacing w:line="259" w:lineRule="auto"/>
              <w:rPr>
                <w:rFonts w:ascii="Century Gothic" w:cs="Century Gothic" w:eastAsia="Century Gothic" w:hAnsi="Century Gothic"/>
                <w:color w:val="162056"/>
                <w:sz w:val="16"/>
                <w:szCs w:val="16"/>
              </w:rPr>
            </w:pPr>
            <w:hyperlink r:id="rId7">
              <w:r w:rsidDel="00000000" w:rsidR="00000000" w:rsidRPr="00000000">
                <w:rPr>
                  <w:rFonts w:ascii="Century Gothic" w:cs="Century Gothic" w:eastAsia="Century Gothic" w:hAnsi="Century Gothic"/>
                  <w:color w:val="0563c1"/>
                  <w:sz w:val="16"/>
                  <w:szCs w:val="16"/>
                  <w:u w:val="single"/>
                  <w:rtl w:val="0"/>
                </w:rPr>
                <w:t xml:space="preserve">santiago.gomez@edenred.com</w:t>
              </w:r>
            </w:hyperlink>
            <w:r w:rsidDel="00000000" w:rsidR="00000000" w:rsidRPr="00000000">
              <w:rPr>
                <w:rFonts w:ascii="Century Gothic" w:cs="Century Gothic" w:eastAsia="Century Gothic" w:hAnsi="Century Gothic"/>
                <w:color w:val="162056"/>
                <w:sz w:val="16"/>
                <w:szCs w:val="16"/>
                <w:rtl w:val="0"/>
              </w:rPr>
              <w:t xml:space="preserve"> </w:t>
            </w:r>
          </w:p>
        </w:tc>
        <w:tc>
          <w:tcPr/>
          <w:p w:rsidR="00000000" w:rsidDel="00000000" w:rsidP="00000000" w:rsidRDefault="00000000" w:rsidRPr="00000000" w14:paraId="0000002F">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Marketing Communication &amp; PR Manager</w:t>
            </w:r>
          </w:p>
          <w:p w:rsidR="00000000" w:rsidDel="00000000" w:rsidP="00000000" w:rsidRDefault="00000000" w:rsidRPr="00000000" w14:paraId="00000030">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Victoria Balboa</w:t>
            </w:r>
          </w:p>
          <w:p w:rsidR="00000000" w:rsidDel="00000000" w:rsidP="00000000" w:rsidRDefault="00000000" w:rsidRPr="00000000" w14:paraId="00000031">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3555 8287</w:t>
            </w:r>
          </w:p>
          <w:p w:rsidR="00000000" w:rsidDel="00000000" w:rsidP="00000000" w:rsidRDefault="00000000" w:rsidRPr="00000000" w14:paraId="00000032">
            <w:pPr>
              <w:spacing w:line="259" w:lineRule="auto"/>
              <w:rPr>
                <w:rFonts w:ascii="Century Gothic" w:cs="Century Gothic" w:eastAsia="Century Gothic" w:hAnsi="Century Gothic"/>
                <w:color w:val="162056"/>
                <w:sz w:val="16"/>
                <w:szCs w:val="16"/>
              </w:rPr>
            </w:pPr>
            <w:hyperlink r:id="rId8">
              <w:r w:rsidDel="00000000" w:rsidR="00000000" w:rsidRPr="00000000">
                <w:rPr>
                  <w:rFonts w:ascii="Century Gothic" w:cs="Century Gothic" w:eastAsia="Century Gothic" w:hAnsi="Century Gothic"/>
                  <w:color w:val="0563c1"/>
                  <w:sz w:val="16"/>
                  <w:szCs w:val="16"/>
                  <w:u w:val="single"/>
                  <w:rtl w:val="0"/>
                </w:rPr>
                <w:t xml:space="preserve">victoria.balboa@edenred.com</w:t>
              </w:r>
            </w:hyperlink>
            <w:r w:rsidDel="00000000" w:rsidR="00000000" w:rsidRPr="00000000">
              <w:rPr>
                <w:rtl w:val="0"/>
              </w:rPr>
            </w:r>
          </w:p>
        </w:tc>
      </w:tr>
      <w:tr>
        <w:trPr>
          <w:cantSplit w:val="0"/>
          <w:trHeight w:val="1263" w:hRule="atLeast"/>
          <w:tblHeader w:val="0"/>
        </w:trPr>
        <w:tc>
          <w:tcPr/>
          <w:p w:rsidR="00000000" w:rsidDel="00000000" w:rsidP="00000000" w:rsidRDefault="00000000" w:rsidRPr="00000000" w14:paraId="00000033">
            <w:pPr>
              <w:spacing w:line="259" w:lineRule="auto"/>
              <w:rPr>
                <w:rFonts w:ascii="Century Gothic" w:cs="Century Gothic" w:eastAsia="Century Gothic" w:hAnsi="Century Gothic"/>
                <w:b w:val="1"/>
                <w:color w:val="11204c"/>
                <w:sz w:val="16"/>
                <w:szCs w:val="16"/>
              </w:rPr>
            </w:pPr>
            <w:r w:rsidDel="00000000" w:rsidR="00000000" w:rsidRPr="00000000">
              <w:rPr>
                <w:rtl w:val="0"/>
              </w:rPr>
            </w:r>
          </w:p>
          <w:p w:rsidR="00000000" w:rsidDel="00000000" w:rsidP="00000000" w:rsidRDefault="00000000" w:rsidRPr="00000000" w14:paraId="00000034">
            <w:pPr>
              <w:spacing w:line="259"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Relaciones con prensa: Another </w:t>
            </w:r>
          </w:p>
          <w:p w:rsidR="00000000" w:rsidDel="00000000" w:rsidP="00000000" w:rsidRDefault="00000000" w:rsidRPr="00000000" w14:paraId="00000035">
            <w:pPr>
              <w:spacing w:line="240" w:lineRule="auto"/>
              <w:rPr>
                <w:rFonts w:ascii="Century Gothic" w:cs="Century Gothic" w:eastAsia="Century Gothic" w:hAnsi="Century Gothic"/>
                <w:color w:val="11204c"/>
                <w:sz w:val="16"/>
                <w:szCs w:val="16"/>
              </w:rPr>
            </w:pPr>
            <w:r w:rsidDel="00000000" w:rsidR="00000000" w:rsidRPr="00000000">
              <w:rPr>
                <w:rFonts w:ascii="Century Gothic" w:cs="Century Gothic" w:eastAsia="Century Gothic" w:hAnsi="Century Gothic"/>
                <w:color w:val="11204c"/>
                <w:sz w:val="16"/>
                <w:szCs w:val="16"/>
                <w:rtl w:val="0"/>
              </w:rPr>
              <w:t xml:space="preserve">Emmanuel Zaragoza</w:t>
            </w:r>
          </w:p>
          <w:p w:rsidR="00000000" w:rsidDel="00000000" w:rsidP="00000000" w:rsidRDefault="00000000" w:rsidRPr="00000000" w14:paraId="00000036">
            <w:pPr>
              <w:spacing w:line="240" w:lineRule="auto"/>
              <w:rPr>
                <w:rFonts w:ascii="Century Gothic" w:cs="Century Gothic" w:eastAsia="Century Gothic" w:hAnsi="Century Gothic"/>
                <w:color w:val="11204c"/>
                <w:sz w:val="16"/>
                <w:szCs w:val="16"/>
              </w:rPr>
            </w:pPr>
            <w:r w:rsidDel="00000000" w:rsidR="00000000" w:rsidRPr="00000000">
              <w:rPr>
                <w:rFonts w:ascii="Century Gothic" w:cs="Century Gothic" w:eastAsia="Century Gothic" w:hAnsi="Century Gothic"/>
                <w:color w:val="11204c"/>
                <w:sz w:val="16"/>
                <w:szCs w:val="16"/>
                <w:rtl w:val="0"/>
              </w:rPr>
              <w:t xml:space="preserve">+52 (55) 4903 54341452 9158</w:t>
            </w:r>
          </w:p>
          <w:p w:rsidR="00000000" w:rsidDel="00000000" w:rsidP="00000000" w:rsidRDefault="00000000" w:rsidRPr="00000000" w14:paraId="00000037">
            <w:pPr>
              <w:spacing w:line="240" w:lineRule="auto"/>
              <w:rPr>
                <w:rFonts w:ascii="Century Gothic" w:cs="Century Gothic" w:eastAsia="Century Gothic" w:hAnsi="Century Gothic"/>
                <w:color w:val="11204c"/>
                <w:sz w:val="16"/>
                <w:szCs w:val="16"/>
              </w:rPr>
            </w:pPr>
            <w:hyperlink r:id="rId9">
              <w:r w:rsidDel="00000000" w:rsidR="00000000" w:rsidRPr="00000000">
                <w:rPr>
                  <w:rFonts w:ascii="Century Gothic" w:cs="Century Gothic" w:eastAsia="Century Gothic" w:hAnsi="Century Gothic"/>
                  <w:color w:val="1155cc"/>
                  <w:sz w:val="16"/>
                  <w:szCs w:val="16"/>
                  <w:u w:val="single"/>
                  <w:rtl w:val="0"/>
                </w:rPr>
                <w:t xml:space="preserve">emmanuel.zaragoza@another.co</w:t>
              </w:r>
            </w:hyperlink>
            <w:r w:rsidDel="00000000" w:rsidR="00000000" w:rsidRPr="00000000">
              <w:rPr>
                <w:rtl w:val="0"/>
              </w:rPr>
            </w:r>
          </w:p>
        </w:tc>
        <w:tc>
          <w:tcPr/>
          <w:p w:rsidR="00000000" w:rsidDel="00000000" w:rsidP="00000000" w:rsidRDefault="00000000" w:rsidRPr="00000000" w14:paraId="00000038">
            <w:pPr>
              <w:spacing w:line="259" w:lineRule="auto"/>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39">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3A">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Ernesto Pacheco</w:t>
            </w:r>
          </w:p>
          <w:p w:rsidR="00000000" w:rsidDel="00000000" w:rsidP="00000000" w:rsidRDefault="00000000" w:rsidRPr="00000000" w14:paraId="0000003B">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5213 5035</w:t>
            </w:r>
          </w:p>
          <w:p w:rsidR="00000000" w:rsidDel="00000000" w:rsidP="00000000" w:rsidRDefault="00000000" w:rsidRPr="00000000" w14:paraId="0000003C">
            <w:pPr>
              <w:spacing w:line="259" w:lineRule="auto"/>
              <w:rPr>
                <w:rFonts w:ascii="Century Gothic" w:cs="Century Gothic" w:eastAsia="Century Gothic" w:hAnsi="Century Gothic"/>
                <w:color w:val="162056"/>
                <w:sz w:val="16"/>
                <w:szCs w:val="16"/>
              </w:rPr>
            </w:pPr>
            <w:hyperlink r:id="rId10">
              <w:r w:rsidDel="00000000" w:rsidR="00000000" w:rsidRPr="00000000">
                <w:rPr>
                  <w:rFonts w:ascii="Century Gothic" w:cs="Century Gothic" w:eastAsia="Century Gothic" w:hAnsi="Century Gothic"/>
                  <w:color w:val="0563c1"/>
                  <w:sz w:val="16"/>
                  <w:szCs w:val="16"/>
                  <w:u w:val="single"/>
                  <w:rtl w:val="0"/>
                </w:rPr>
                <w:t xml:space="preserve">ernesto.pacheco@another.co</w:t>
              </w:r>
            </w:hyperlink>
            <w:r w:rsidDel="00000000" w:rsidR="00000000" w:rsidRPr="00000000">
              <w:rPr>
                <w:rtl w:val="0"/>
              </w:rPr>
            </w:r>
          </w:p>
        </w:tc>
      </w:tr>
    </w:tbl>
    <w:p w:rsidR="00000000" w:rsidDel="00000000" w:rsidP="00000000" w:rsidRDefault="00000000" w:rsidRPr="00000000" w14:paraId="0000003D">
      <w:pPr>
        <w:spacing w:line="240" w:lineRule="auto"/>
        <w:rPr>
          <w:rFonts w:ascii="Century Gothic" w:cs="Century Gothic" w:eastAsia="Century Gothic" w:hAnsi="Century Gothic"/>
          <w:b w:val="1"/>
          <w:color w:val="002060"/>
          <w:sz w:val="24"/>
          <w:szCs w:val="24"/>
        </w:rPr>
      </w:pPr>
      <w:r w:rsidDel="00000000" w:rsidR="00000000" w:rsidRPr="00000000">
        <w:rPr>
          <w:rFonts w:ascii="Calibri" w:cs="Calibri" w:eastAsia="Calibri" w:hAnsi="Calibri"/>
          <w:sz w:val="16"/>
          <w:szCs w:val="16"/>
          <w:rtl w:val="0"/>
        </w:rPr>
        <w:tab/>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rPr/>
    </w:pPr>
    <w:r w:rsidDel="00000000" w:rsidR="00000000" w:rsidRPr="00000000">
      <w:rPr/>
      <w:drawing>
        <wp:inline distB="0" distT="0" distL="114300" distR="114300">
          <wp:extent cx="1373968" cy="8809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rnesto.pacheco@another.co" TargetMode="External"/><Relationship Id="rId9" Type="http://schemas.openxmlformats.org/officeDocument/2006/relationships/hyperlink" Target="mailto:emmanuel.zaragoza@another.co" TargetMode="External"/><Relationship Id="rId5" Type="http://schemas.openxmlformats.org/officeDocument/2006/relationships/styles" Target="styles.xml"/><Relationship Id="rId6" Type="http://schemas.openxmlformats.org/officeDocument/2006/relationships/hyperlink" Target="https://www.dof.gob.mx/nota_detalle.php?codigo=5609275&amp;fecha=31/12/2020" TargetMode="External"/><Relationship Id="rId7" Type="http://schemas.openxmlformats.org/officeDocument/2006/relationships/hyperlink" Target="mailto:santiago.gomez@edenred.com" TargetMode="External"/><Relationship Id="rId8" Type="http://schemas.openxmlformats.org/officeDocument/2006/relationships/hyperlink" Target="mailto:victoria.balboa@edenr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